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UNITED STATES BANKRUPTCY COURT </w:t>
      </w:r>
    </w:p>
    <w:p w:rsidR="00000000" w:rsidDel="00000000" w:rsidP="00000000" w:rsidRDefault="00000000" w:rsidRPr="00000000" w14:paraId="00000002">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SOUTHERN DISTRICT OF NEW YORK </w:t>
      </w:r>
    </w:p>
    <w:p w:rsidR="00000000" w:rsidDel="00000000" w:rsidP="00000000" w:rsidRDefault="00000000" w:rsidRPr="00000000" w14:paraId="0000000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04">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re:</w:t>
        <w:tab/>
        <w:tab/>
        <w:tab/>
        <w:tab/>
        <w:tab/>
        <w:tab/>
        <w:tab/>
        <w:t xml:space="preserve">)</w:t>
      </w:r>
    </w:p>
    <w:p w:rsidR="00000000" w:rsidDel="00000000" w:rsidP="00000000" w:rsidRDefault="00000000" w:rsidRPr="00000000" w14:paraId="00000005">
      <w:pPr>
        <w:spacing w:after="0" w:line="240" w:lineRule="auto"/>
        <w:ind w:firstLine="504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06">
      <w:pPr>
        <w:spacing w:after="0" w:line="240" w:lineRule="auto"/>
        <w:ind w:firstLine="504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07">
      <w:pPr>
        <w:spacing w:after="0" w:line="240" w:lineRule="auto"/>
        <w:ind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tab/>
        <w:tab/>
        <w:tab/>
        <w:t xml:space="preserve">]</w:t>
        <w:tab/>
        <w:tab/>
        <w:tab/>
        <w:t xml:space="preserve">) </w:t>
        <w:tab/>
        <w:t xml:space="preserve">Chapter __</w:t>
        <w:tab/>
        <w:t xml:space="preserve"> </w:t>
      </w:r>
    </w:p>
    <w:p w:rsidR="00000000" w:rsidDel="00000000" w:rsidP="00000000" w:rsidRDefault="00000000" w:rsidRPr="00000000" w14:paraId="00000008">
      <w:pPr>
        <w:spacing w:after="0" w:line="240" w:lineRule="auto"/>
        <w:ind w:left="4320"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tab/>
        <w:t xml:space="preserve">Case No. __-____ (SAB)</w:t>
      </w:r>
    </w:p>
    <w:p w:rsidR="00000000" w:rsidDel="00000000" w:rsidP="00000000" w:rsidRDefault="00000000" w:rsidRPr="00000000" w14:paraId="00000009">
      <w:pPr>
        <w:spacing w:after="0" w:line="240" w:lineRule="auto"/>
        <w:ind w:left="576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0A">
      <w:pPr>
        <w:spacing w:after="0" w:line="240" w:lineRule="auto"/>
        <w:ind w:left="5040" w:hanging="21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Debtor(s)</w:t>
        <w:tab/>
        <w:t xml:space="preserve">) </w:t>
      </w:r>
    </w:p>
    <w:p w:rsidR="00000000" w:rsidDel="00000000" w:rsidP="00000000" w:rsidRDefault="00000000" w:rsidRPr="00000000" w14:paraId="0000000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0C">
      <w:pPr>
        <w:spacing w:after="0" w:line="240" w:lineRule="auto"/>
        <w:ind w:firstLine="504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0D">
      <w:pPr>
        <w:spacing w:after="0" w:line="240" w:lineRule="auto"/>
        <w:ind w:firstLine="504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0E">
      <w:pPr>
        <w:spacing w:after="0" w:line="240" w:lineRule="auto"/>
        <w:ind w:firstLine="504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0F">
      <w:pPr>
        <w:spacing w:after="0" w:line="240" w:lineRule="auto"/>
        <w:ind w:left="5040" w:hanging="21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Plaintiff(s), </w:t>
        <w:tab/>
        <w:t xml:space="preserve">) </w:t>
        <w:tab/>
        <w:t xml:space="preserve"> </w:t>
      </w:r>
    </w:p>
    <w:p w:rsidR="00000000" w:rsidDel="00000000" w:rsidP="00000000" w:rsidRDefault="00000000" w:rsidRPr="00000000" w14:paraId="00000010">
      <w:pPr>
        <w:spacing w:after="0" w:line="240" w:lineRule="auto"/>
        <w:ind w:left="4320"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tab/>
        <w:t xml:space="preserve">Adv. Proc. No.__________(SAB) </w:t>
      </w:r>
    </w:p>
    <w:p w:rsidR="00000000" w:rsidDel="00000000" w:rsidP="00000000" w:rsidRDefault="00000000" w:rsidRPr="00000000" w14:paraId="00000011">
      <w:pPr>
        <w:spacing w:after="0" w:line="240" w:lineRule="auto"/>
        <w:ind w:left="5040" w:hanging="360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against -</w:t>
        <w:tab/>
        <w:t xml:space="preserve">) </w:t>
      </w:r>
    </w:p>
    <w:p w:rsidR="00000000" w:rsidDel="00000000" w:rsidP="00000000" w:rsidRDefault="00000000" w:rsidRPr="00000000" w14:paraId="00000012">
      <w:pPr>
        <w:spacing w:after="0" w:line="240" w:lineRule="auto"/>
        <w:ind w:left="576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13">
      <w:pPr>
        <w:spacing w:after="0" w:line="240" w:lineRule="auto"/>
        <w:ind w:left="576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tab/>
        <w:t xml:space="preserve">[PROPOSED]</w:t>
      </w:r>
    </w:p>
    <w:p w:rsidR="00000000" w:rsidDel="00000000" w:rsidP="00000000" w:rsidRDefault="00000000" w:rsidRPr="00000000" w14:paraId="00000014">
      <w:pPr>
        <w:spacing w:after="0" w:line="240" w:lineRule="auto"/>
        <w:ind w:left="576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tab/>
      </w:r>
      <w:r w:rsidDel="00000000" w:rsidR="00000000" w:rsidRPr="00000000">
        <w:rPr>
          <w:rFonts w:ascii="Times New Roman" w:cs="Times New Roman" w:eastAsia="Times New Roman" w:hAnsi="Times New Roman"/>
          <w:b w:val="1"/>
          <w:color w:val="000000"/>
          <w:sz w:val="24"/>
          <w:szCs w:val="24"/>
          <w:u w:val="single"/>
          <w:rtl w:val="0"/>
        </w:rPr>
        <w:t xml:space="preserve">JOINT PRETRIAL ORDER</w:t>
      </w:r>
      <w:r w:rsidDel="00000000" w:rsidR="00000000" w:rsidRPr="00000000">
        <w:rPr>
          <w:rtl w:val="0"/>
        </w:rPr>
      </w:r>
    </w:p>
    <w:p w:rsidR="00000000" w:rsidDel="00000000" w:rsidP="00000000" w:rsidRDefault="00000000" w:rsidRPr="00000000" w14:paraId="00000015">
      <w:pPr>
        <w:spacing w:after="0" w:line="240" w:lineRule="auto"/>
        <w:ind w:left="5040" w:hanging="21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Defendant(s). </w:t>
        <w:tab/>
        <w:t xml:space="preserve">) </w:t>
      </w:r>
    </w:p>
    <w:p w:rsidR="00000000" w:rsidDel="00000000" w:rsidP="00000000" w:rsidRDefault="00000000" w:rsidRPr="00000000" w14:paraId="00000016">
      <w:pPr>
        <w:spacing w:after="0" w:line="240" w:lineRule="auto"/>
        <w:ind w:left="504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1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parties having conferred among themselves and with the Court pursuant to</w:t>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Fed. R. Civ. P. 16, the following statements, directions and agreements are adopted as the</w:t>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Pretrial Order herein.</w:t>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NATURE OF THE CASE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[Set forth a brief statement of the general nature of the action and the relief sought by each party.]</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BASIS FOR JURISDICTION, WHETHER THE CASE IS CORE OR NON-CORE, AND WHETHER THE BANKRUPTCY JUDGE MAY ENTER FINAL ORDERS OR JUDGMENT</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[Set forth the basis for subject matter jurisdiction and whether the case is core or non-core, and if core, whether the Court can enter final orders and judgment.  If these matters are disputed, the positions of each of the parties should be explained.  Also, state whether the parties consent to the bankruptcy judge entering final orders or judgment.  If </w:t>
      </w:r>
      <w:r w:rsidDel="00000000" w:rsidR="00000000" w:rsidRPr="00000000">
        <w:rPr>
          <w:rFonts w:ascii="Times New Roman" w:cs="Times New Roman" w:eastAsia="Times New Roman" w:hAnsi="Times New Roman"/>
          <w:sz w:val="24"/>
          <w:szCs w:val="24"/>
          <w:rtl w:val="0"/>
        </w:rPr>
        <w:t xml:space="preserve">one or both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parties do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not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consent</w:t>
      </w:r>
      <w:r w:rsidDel="00000000" w:rsidR="00000000" w:rsidRPr="00000000">
        <w:rPr>
          <w:rFonts w:ascii="Times New Roman" w:cs="Times New Roman" w:eastAsia="Times New Roman" w:hAnsi="Times New Roman"/>
          <w:sz w:val="24"/>
          <w:szCs w:val="24"/>
          <w:rtl w:val="0"/>
        </w:rPr>
        <w:t xml:space="preserve"> to the bankruptcy judge entering final orders or judgment, this pretrial order must be accompanied by a motion seeking withdrawal of the reference.  If the pretrial order is silent as to the parties’ consent, and is submitted </w:t>
      </w:r>
      <w:r w:rsidDel="00000000" w:rsidR="00000000" w:rsidRPr="00000000">
        <w:rPr>
          <w:rFonts w:ascii="Times New Roman" w:cs="Times New Roman" w:eastAsia="Times New Roman" w:hAnsi="Times New Roman"/>
          <w:sz w:val="24"/>
          <w:szCs w:val="24"/>
          <w:u w:val="single"/>
          <w:rtl w:val="0"/>
        </w:rPr>
        <w:t xml:space="preserve">without</w:t>
      </w:r>
      <w:r w:rsidDel="00000000" w:rsidR="00000000" w:rsidRPr="00000000">
        <w:rPr>
          <w:rFonts w:ascii="Times New Roman" w:cs="Times New Roman" w:eastAsia="Times New Roman" w:hAnsi="Times New Roman"/>
          <w:sz w:val="24"/>
          <w:szCs w:val="24"/>
          <w:rtl w:val="0"/>
        </w:rPr>
        <w:t xml:space="preserve"> a motion to withdraw the reference, the parties </w:t>
      </w:r>
      <w:r w:rsidDel="00000000" w:rsidR="00000000" w:rsidRPr="00000000">
        <w:rPr>
          <w:rFonts w:ascii="Times New Roman" w:cs="Times New Roman" w:eastAsia="Times New Roman" w:hAnsi="Times New Roman"/>
          <w:sz w:val="24"/>
          <w:szCs w:val="24"/>
          <w:u w:val="single"/>
          <w:rtl w:val="0"/>
        </w:rPr>
        <w:t xml:space="preserve">will be deemed to have consented</w:t>
      </w:r>
      <w:r w:rsidDel="00000000" w:rsidR="00000000" w:rsidRPr="00000000">
        <w:rPr>
          <w:rFonts w:ascii="Times New Roman" w:cs="Times New Roman" w:eastAsia="Times New Roman" w:hAnsi="Times New Roman"/>
          <w:sz w:val="24"/>
          <w:szCs w:val="24"/>
          <w:rtl w:val="0"/>
        </w:rPr>
        <w:t xml:space="preserve"> to the bankruptcy judge entering final orders or judgment.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STIPULATED FACTS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[Set forth any stipulated facts.]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PARTIES' CONTENTIONS</w:t>
      </w:r>
    </w:p>
    <w:p w:rsidR="00000000" w:rsidDel="00000000" w:rsidP="00000000" w:rsidRDefault="00000000" w:rsidRPr="00000000" w14:paraId="0000002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1"/>
        <w:keepLines w:val="1"/>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pleadings are deemed amended to embrace the following, and only the</w:t>
      </w:r>
    </w:p>
    <w:p w:rsidR="00000000" w:rsidDel="00000000" w:rsidP="00000000" w:rsidRDefault="00000000" w:rsidRPr="00000000" w14:paraId="0000002C">
      <w:pPr>
        <w:keepNext w:val="1"/>
        <w:keepLines w:val="1"/>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contentions of the parties: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Plaintiff’s Contentions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[Set forth a brief statement of the plaintiff's contentions in separately numbered paragraphs as to all ultimate issues of fact and law.]</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Defendant’s Contentions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[Set forth a brief statement of the defendant's contentions in separately numbered paragraphs as to all ultimate issues of fact and law.  For all legal issues, with this pretrial order, the parties will each submit a pretrial brief </w:t>
      </w:r>
      <w:r w:rsidDel="00000000" w:rsidR="00000000" w:rsidRPr="00000000">
        <w:rPr>
          <w:rFonts w:ascii="Times New Roman" w:cs="Times New Roman" w:eastAsia="Times New Roman" w:hAnsi="Times New Roman"/>
          <w:sz w:val="24"/>
          <w:szCs w:val="24"/>
          <w:rtl w:val="0"/>
        </w:rPr>
        <w:t xml:space="preserve">addressing all legal issues.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ISSUES TO BE TRIED</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[Set forth an agreed statement of the issues to be tried.]</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PLAINTIFF’S EXHIBITS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DEFENDANT’S EXHIBITS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exhibit not listed by plaintiff or defendant may be used at trial except (a) for cross-examination purposes or (b) if good cause for its exclusion from the pretrial order is shown.  Each side shall list all exhibits it intends to offer on its case in chief.  The list shall include a description of each exhibit.  All exhibits shall be pre-marked with each exhibit bearing a unique number or letter (numbers for plaintiff and letters for defendant), with the prefix PX for plaintiff’s exhibits and DX for defendant’s exhibits.  In accordance with Judge Barday’s Chambers Rules, two indexed sets of exhibits shall be delivered to Chambers concurrently with this proposed pretrial order, together with, if available, a flash drive containing PDF copies of all of the exhibits.  (For electronic copies, PDF “binders” (but not “portfolios”) are preferred to a flash drive containing each exhibit as an individual document.  For any such e-binders, please bookmark each exhibit using only the exhibit prefix and number: e.g., PX_1, DX_A—and not any other description.)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240" w:line="259"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Whether in hard copy or electronic, all exhibit sets submitted to the Court shall include an index that (a) lists all exhibits and (b) highlights any contested exhibits in yellow.  The index shall include an “Objection” column setting forth opposing counsel’s objection using the following illustrative convention: FRE 901 (Authenticity). </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STIPULATIONS AND OBJECTIONS WITH RESPECT TO EXHIBITS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tabs>
          <w:tab w:val="left" w:leader="none" w:pos="72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Any objections not set forth herein will be considered waived absent good cause shown.  [The parties shall set forth any stipulations with respect to the authenticity and admissibility of exhibits and indicate all objections to exhibits and briefly describe the grounds therefor.]</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PLAINTIFF’S WITNESS LIST</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DEFENDANT’S WITNESS LIST</w:t>
      </w:r>
    </w:p>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witnesses listed may be called at trial.  No witness not identified herein shall be permitted to testify on either party’s case in chief absent good cause shown.  Each party shall list the witnesses it intends to call on its case in chief and, if a witness’s testimony will be offered by deposition, shall designate by page and line numbers the portions of the deposition transcript it intends to offer.  Counsel are expected in good faith to offer only those portions of deposition testimony that are necessary and shall refrain from designating </w:t>
      </w:r>
      <w:r w:rsidDel="00000000" w:rsidR="00000000" w:rsidRPr="00000000">
        <w:rPr>
          <w:rFonts w:ascii="Times New Roman" w:cs="Times New Roman" w:eastAsia="Times New Roman" w:hAnsi="Times New Roman"/>
          <w:sz w:val="24"/>
          <w:szCs w:val="24"/>
          <w:rtl w:val="0"/>
        </w:rPr>
        <w:t xml:space="preserve">an entire deposition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transcript and from designating cumulative or irrelevant matters.  Each party shall set forth any objections it has to deposition testimony designated by the other and the basis therefor.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RELIEF SOUGHT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tabs>
          <w:tab w:val="left" w:leader="none" w:pos="72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plaintiff shall set forth the precise relief sought, including each element of damages.  </w:t>
      </w:r>
    </w:p>
    <w:p w:rsidR="00000000" w:rsidDel="00000000" w:rsidP="00000000" w:rsidRDefault="00000000" w:rsidRPr="00000000" w14:paraId="0000004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keepNext w:val="1"/>
        <w:keepLines w:val="1"/>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Dated:  _________________</w:t>
      </w:r>
    </w:p>
    <w:p w:rsidR="00000000" w:rsidDel="00000000" w:rsidP="00000000" w:rsidRDefault="00000000" w:rsidRPr="00000000" w14:paraId="00000052">
      <w:pPr>
        <w:keepNext w:val="1"/>
        <w:keepLines w:val="1"/>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keepNext w:val="1"/>
        <w:keepLines w:val="1"/>
        <w:spacing w:after="0" w:line="240" w:lineRule="auto"/>
        <w:ind w:left="288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w:t>
      </w:r>
    </w:p>
    <w:p w:rsidR="00000000" w:rsidDel="00000000" w:rsidP="00000000" w:rsidRDefault="00000000" w:rsidRPr="00000000" w14:paraId="00000054">
      <w:pPr>
        <w:keepNext w:val="1"/>
        <w:keepLines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 xml:space="preserve">[Signature of Plaintiff’s counsel]</w:t>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0" w:line="240" w:lineRule="auto"/>
        <w:ind w:left="288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w:t>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 xml:space="preserve">[Signature of Defendant’s counsel]</w:t>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Dated:  __________________</w:t>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IT IS SO ORDERED:</w:t>
      </w:r>
    </w:p>
    <w:p w:rsidR="00000000" w:rsidDel="00000000" w:rsidP="00000000" w:rsidRDefault="00000000" w:rsidRPr="00000000" w14:paraId="0000005D">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E">
      <w:pPr>
        <w:spacing w:after="0" w:line="240" w:lineRule="auto"/>
        <w:ind w:left="3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w:t>
      </w:r>
    </w:p>
    <w:p w:rsidR="00000000" w:rsidDel="00000000" w:rsidP="00000000" w:rsidRDefault="00000000" w:rsidRPr="00000000" w14:paraId="0000005F">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ab/>
        <w:tab/>
        <w:tab/>
        <w:tab/>
      </w:r>
      <w:r w:rsidDel="00000000" w:rsidR="00000000" w:rsidRPr="00000000">
        <w:rPr>
          <w:rFonts w:ascii="Times New Roman" w:cs="Times New Roman" w:eastAsia="Times New Roman" w:hAnsi="Times New Roman"/>
          <w:b w:val="1"/>
          <w:sz w:val="24"/>
          <w:szCs w:val="24"/>
          <w:rtl w:val="0"/>
        </w:rPr>
        <w:t xml:space="preserve">UNITED STATES BANKRUPTCY JUDGE</w:t>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C37A9"/>
    <w:pPr>
      <w:ind w:left="720"/>
      <w:contextualSpacing w:val="1"/>
    </w:pPr>
  </w:style>
  <w:style w:type="paragraph" w:styleId="Default" w:customStyle="1">
    <w:name w:val="Default"/>
    <w:rsid w:val="00DA3428"/>
    <w:pPr>
      <w:autoSpaceDE w:val="0"/>
      <w:autoSpaceDN w:val="0"/>
      <w:adjustRightInd w:val="0"/>
      <w:spacing w:after="0" w:line="240" w:lineRule="auto"/>
    </w:pPr>
    <w:rPr>
      <w:rFonts w:ascii="FMHNEK+TimesNewRoman" w:cs="FMHNEK+TimesNewRoman" w:eastAsia="Times New Roman" w:hAnsi="FMHNEK+TimesNewRoman"/>
      <w:color w:val="000000"/>
      <w:sz w:val="24"/>
      <w:szCs w:val="24"/>
    </w:rPr>
  </w:style>
  <w:style w:type="paragraph" w:styleId="Header">
    <w:name w:val="header"/>
    <w:basedOn w:val="Normal"/>
    <w:link w:val="HeaderChar"/>
    <w:uiPriority w:val="99"/>
    <w:semiHidden w:val="1"/>
    <w:unhideWhenUsed w:val="1"/>
    <w:rsid w:val="003B11B1"/>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3B11B1"/>
  </w:style>
  <w:style w:type="paragraph" w:styleId="Footer">
    <w:name w:val="footer"/>
    <w:basedOn w:val="Normal"/>
    <w:link w:val="FooterChar"/>
    <w:uiPriority w:val="99"/>
    <w:unhideWhenUsed w:val="1"/>
    <w:rsid w:val="003B11B1"/>
    <w:pPr>
      <w:tabs>
        <w:tab w:val="center" w:pos="4680"/>
        <w:tab w:val="right" w:pos="9360"/>
      </w:tabs>
      <w:spacing w:after="0" w:line="240" w:lineRule="auto"/>
    </w:pPr>
  </w:style>
  <w:style w:type="character" w:styleId="FooterChar" w:customStyle="1">
    <w:name w:val="Footer Char"/>
    <w:basedOn w:val="DefaultParagraphFont"/>
    <w:link w:val="Footer"/>
    <w:uiPriority w:val="99"/>
    <w:rsid w:val="003B11B1"/>
  </w:style>
  <w:style w:type="paragraph" w:styleId="BalloonText">
    <w:name w:val="Balloon Text"/>
    <w:basedOn w:val="Normal"/>
    <w:link w:val="BalloonTextChar"/>
    <w:uiPriority w:val="99"/>
    <w:semiHidden w:val="1"/>
    <w:unhideWhenUsed w:val="1"/>
    <w:rsid w:val="007F31F0"/>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F31F0"/>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Kbtl8Lru1ldsAQ9TO8w6O6Gh7Q==">CgMxLjA4AHIhMTl6aHBmTjQxNFJHbXpsZU5lTmVyX3FHYi1zaTJiS2J3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2025-09-16T15:20:00Z</dcterms:created>
  <dc:creator>Martin Glenn</dc:creator>
</cp:coreProperties>
</file>