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A7C52" w14:textId="6ACD1FD3" w:rsidR="00E96EAD" w:rsidRPr="00A253AF" w:rsidRDefault="00E96EAD" w:rsidP="003B4C6A">
      <w:pPr>
        <w:jc w:val="both"/>
      </w:pPr>
      <w:r w:rsidRPr="00DA3428">
        <w:rPr>
          <w:b/>
        </w:rPr>
        <w:t xml:space="preserve">UNITED STATES BANKRUPTCY COURT </w:t>
      </w:r>
    </w:p>
    <w:p w14:paraId="732037A5" w14:textId="77777777" w:rsidR="00E96EAD" w:rsidRPr="00DA3428" w:rsidRDefault="00E96EAD" w:rsidP="003B4C6A">
      <w:pPr>
        <w:autoSpaceDE w:val="0"/>
        <w:autoSpaceDN w:val="0"/>
        <w:adjustRightInd w:val="0"/>
        <w:jc w:val="both"/>
        <w:outlineLvl w:val="0"/>
        <w:rPr>
          <w:b/>
          <w:color w:val="000000"/>
          <w:szCs w:val="24"/>
        </w:rPr>
      </w:pPr>
      <w:r w:rsidRPr="00DA3428">
        <w:rPr>
          <w:b/>
          <w:color w:val="000000"/>
          <w:szCs w:val="24"/>
        </w:rPr>
        <w:t xml:space="preserve">SOUTHERN DISTRICT OF NEW YORK </w:t>
      </w:r>
    </w:p>
    <w:p w14:paraId="36039753" w14:textId="77777777" w:rsidR="00E96EAD" w:rsidRPr="00DA3428" w:rsidRDefault="00E96EAD" w:rsidP="003B4C6A">
      <w:pPr>
        <w:autoSpaceDE w:val="0"/>
        <w:autoSpaceDN w:val="0"/>
        <w:adjustRightInd w:val="0"/>
        <w:jc w:val="both"/>
        <w:rPr>
          <w:color w:val="000000"/>
          <w:szCs w:val="24"/>
        </w:rPr>
      </w:pPr>
      <w:r w:rsidRPr="00DA3428">
        <w:rPr>
          <w:color w:val="000000"/>
          <w:szCs w:val="24"/>
        </w:rPr>
        <w:t xml:space="preserve">--------------------------------------------------------------- </w:t>
      </w:r>
    </w:p>
    <w:p w14:paraId="42D111A9" w14:textId="77777777" w:rsidR="00E96EAD" w:rsidRPr="00DA3428" w:rsidRDefault="00E96EAD" w:rsidP="003B4C6A">
      <w:pPr>
        <w:autoSpaceDE w:val="0"/>
        <w:autoSpaceDN w:val="0"/>
        <w:adjustRightInd w:val="0"/>
        <w:jc w:val="both"/>
        <w:rPr>
          <w:color w:val="000000"/>
          <w:szCs w:val="24"/>
        </w:rPr>
      </w:pPr>
      <w:r w:rsidRPr="00DA3428">
        <w:rPr>
          <w:color w:val="000000"/>
          <w:szCs w:val="24"/>
        </w:rPr>
        <w:t>In re:</w:t>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Pr>
          <w:color w:val="000000"/>
          <w:szCs w:val="24"/>
        </w:rPr>
        <w:t>)</w:t>
      </w:r>
    </w:p>
    <w:p w14:paraId="699F574F" w14:textId="77777777" w:rsidR="00E96EAD" w:rsidRPr="00DA3428" w:rsidRDefault="00E96EAD" w:rsidP="003B4C6A">
      <w:pPr>
        <w:autoSpaceDE w:val="0"/>
        <w:autoSpaceDN w:val="0"/>
        <w:adjustRightInd w:val="0"/>
        <w:ind w:firstLine="5040"/>
        <w:jc w:val="both"/>
        <w:rPr>
          <w:color w:val="000000"/>
          <w:szCs w:val="24"/>
        </w:rPr>
      </w:pPr>
      <w:r>
        <w:rPr>
          <w:color w:val="000000"/>
          <w:szCs w:val="24"/>
        </w:rPr>
        <w:t>)</w:t>
      </w:r>
      <w:r w:rsidRPr="00DA3428">
        <w:rPr>
          <w:color w:val="000000"/>
          <w:szCs w:val="24"/>
        </w:rPr>
        <w:t xml:space="preserve"> </w:t>
      </w:r>
    </w:p>
    <w:p w14:paraId="20E56684" w14:textId="77777777" w:rsidR="00E96EAD" w:rsidRPr="00DA3428" w:rsidRDefault="00E96EAD" w:rsidP="003B4C6A">
      <w:pPr>
        <w:autoSpaceDE w:val="0"/>
        <w:autoSpaceDN w:val="0"/>
        <w:adjustRightInd w:val="0"/>
        <w:ind w:firstLine="5040"/>
        <w:jc w:val="both"/>
        <w:rPr>
          <w:color w:val="000000"/>
          <w:szCs w:val="24"/>
        </w:rPr>
      </w:pPr>
      <w:r>
        <w:rPr>
          <w:color w:val="000000"/>
          <w:szCs w:val="24"/>
        </w:rPr>
        <w:t>)</w:t>
      </w:r>
      <w:r w:rsidRPr="00DA3428">
        <w:rPr>
          <w:color w:val="000000"/>
          <w:szCs w:val="24"/>
        </w:rPr>
        <w:t xml:space="preserve"> </w:t>
      </w:r>
    </w:p>
    <w:p w14:paraId="1B9A9040" w14:textId="77777777" w:rsidR="00E96EAD" w:rsidRPr="00DA3428" w:rsidRDefault="00E96EAD" w:rsidP="003B4C6A">
      <w:pPr>
        <w:autoSpaceDE w:val="0"/>
        <w:autoSpaceDN w:val="0"/>
        <w:adjustRightInd w:val="0"/>
        <w:ind w:firstLine="720"/>
        <w:jc w:val="both"/>
        <w:rPr>
          <w:color w:val="000000"/>
          <w:szCs w:val="24"/>
        </w:rPr>
      </w:pPr>
      <w:r w:rsidRPr="00DA3428">
        <w:rPr>
          <w:color w:val="000000"/>
          <w:szCs w:val="24"/>
        </w:rPr>
        <w:t>[</w:t>
      </w:r>
      <w:r w:rsidRPr="00DA3428">
        <w:rPr>
          <w:color w:val="000000"/>
          <w:szCs w:val="24"/>
        </w:rPr>
        <w:tab/>
      </w:r>
      <w:r w:rsidRPr="00DA3428">
        <w:rPr>
          <w:color w:val="000000"/>
          <w:szCs w:val="24"/>
        </w:rPr>
        <w:tab/>
      </w:r>
      <w:r w:rsidRPr="00DA3428">
        <w:rPr>
          <w:color w:val="000000"/>
          <w:szCs w:val="24"/>
        </w:rPr>
        <w:tab/>
        <w:t>]</w:t>
      </w:r>
      <w:r w:rsidRPr="00DA3428">
        <w:rPr>
          <w:color w:val="000000"/>
          <w:szCs w:val="24"/>
        </w:rPr>
        <w:tab/>
      </w:r>
      <w:r w:rsidRPr="00DA3428">
        <w:rPr>
          <w:color w:val="000000"/>
          <w:szCs w:val="24"/>
        </w:rPr>
        <w:tab/>
      </w:r>
      <w:r w:rsidRPr="00DA3428">
        <w:rPr>
          <w:color w:val="000000"/>
          <w:szCs w:val="24"/>
        </w:rPr>
        <w:tab/>
      </w:r>
      <w:r>
        <w:rPr>
          <w:color w:val="000000"/>
          <w:szCs w:val="24"/>
        </w:rPr>
        <w:t>)</w:t>
      </w:r>
      <w:r w:rsidRPr="00DA3428">
        <w:rPr>
          <w:color w:val="000000"/>
          <w:szCs w:val="24"/>
        </w:rPr>
        <w:t xml:space="preserve"> </w:t>
      </w:r>
      <w:r w:rsidR="00623DD1">
        <w:rPr>
          <w:color w:val="000000"/>
          <w:szCs w:val="24"/>
        </w:rPr>
        <w:tab/>
      </w:r>
      <w:r w:rsidRPr="00DA3428">
        <w:rPr>
          <w:color w:val="000000"/>
          <w:szCs w:val="24"/>
        </w:rPr>
        <w:t>Chapter __</w:t>
      </w:r>
      <w:r w:rsidRPr="00DA3428">
        <w:rPr>
          <w:color w:val="000000"/>
          <w:szCs w:val="24"/>
        </w:rPr>
        <w:tab/>
        <w:t xml:space="preserve"> </w:t>
      </w:r>
    </w:p>
    <w:p w14:paraId="139CA6DE" w14:textId="77777777" w:rsidR="00E96EAD" w:rsidRPr="00DA3428" w:rsidRDefault="00E96EAD" w:rsidP="003B4C6A">
      <w:pPr>
        <w:autoSpaceDE w:val="0"/>
        <w:autoSpaceDN w:val="0"/>
        <w:adjustRightInd w:val="0"/>
        <w:ind w:left="4320" w:firstLine="720"/>
        <w:jc w:val="both"/>
        <w:rPr>
          <w:color w:val="000000"/>
          <w:szCs w:val="24"/>
        </w:rPr>
      </w:pPr>
      <w:r>
        <w:rPr>
          <w:color w:val="000000"/>
          <w:szCs w:val="24"/>
        </w:rPr>
        <w:t>)</w:t>
      </w:r>
      <w:r w:rsidRPr="00DA3428">
        <w:rPr>
          <w:color w:val="000000"/>
          <w:szCs w:val="24"/>
        </w:rPr>
        <w:tab/>
        <w:t>Case No. __-____ (</w:t>
      </w:r>
      <w:r>
        <w:rPr>
          <w:color w:val="000000"/>
          <w:szCs w:val="24"/>
        </w:rPr>
        <w:t>DSJ</w:t>
      </w:r>
      <w:r w:rsidRPr="00DA3428">
        <w:rPr>
          <w:color w:val="000000"/>
          <w:szCs w:val="24"/>
        </w:rPr>
        <w:t>)</w:t>
      </w:r>
    </w:p>
    <w:p w14:paraId="7BBA4E4A" w14:textId="77777777" w:rsidR="00E96EAD" w:rsidRPr="00DA3428" w:rsidRDefault="00E96EAD" w:rsidP="003B4C6A">
      <w:pPr>
        <w:autoSpaceDE w:val="0"/>
        <w:autoSpaceDN w:val="0"/>
        <w:adjustRightInd w:val="0"/>
        <w:ind w:left="5760" w:hanging="720"/>
        <w:jc w:val="both"/>
        <w:rPr>
          <w:color w:val="000000"/>
          <w:szCs w:val="24"/>
        </w:rPr>
      </w:pPr>
      <w:r>
        <w:rPr>
          <w:color w:val="000000"/>
          <w:szCs w:val="24"/>
        </w:rPr>
        <w:t>)</w:t>
      </w:r>
      <w:r w:rsidRPr="00DA3428">
        <w:rPr>
          <w:color w:val="000000"/>
          <w:szCs w:val="24"/>
        </w:rPr>
        <w:t xml:space="preserve"> </w:t>
      </w:r>
    </w:p>
    <w:p w14:paraId="355A5D34" w14:textId="568DF1F9" w:rsidR="00E96EAD" w:rsidRPr="00DA3428" w:rsidRDefault="00E96EAD" w:rsidP="003B4C6A">
      <w:pPr>
        <w:autoSpaceDE w:val="0"/>
        <w:autoSpaceDN w:val="0"/>
        <w:adjustRightInd w:val="0"/>
        <w:ind w:left="5040" w:hanging="2160"/>
        <w:jc w:val="both"/>
        <w:rPr>
          <w:color w:val="000000"/>
          <w:szCs w:val="24"/>
        </w:rPr>
      </w:pPr>
      <w:r w:rsidRPr="00DA3428">
        <w:rPr>
          <w:color w:val="000000"/>
          <w:szCs w:val="24"/>
        </w:rPr>
        <w:t>Debtor(s)</w:t>
      </w:r>
      <w:r w:rsidRPr="00DA3428">
        <w:rPr>
          <w:color w:val="000000"/>
          <w:szCs w:val="24"/>
        </w:rPr>
        <w:tab/>
      </w:r>
      <w:r>
        <w:rPr>
          <w:color w:val="000000"/>
          <w:szCs w:val="24"/>
        </w:rPr>
        <w:t>)</w:t>
      </w:r>
      <w:r w:rsidRPr="00DA3428">
        <w:rPr>
          <w:color w:val="000000"/>
          <w:szCs w:val="24"/>
        </w:rPr>
        <w:t xml:space="preserve"> </w:t>
      </w:r>
    </w:p>
    <w:p w14:paraId="66B65227" w14:textId="77777777" w:rsidR="00E96EAD" w:rsidRPr="00DA3428" w:rsidRDefault="00E96EAD" w:rsidP="003B4C6A">
      <w:pPr>
        <w:autoSpaceDE w:val="0"/>
        <w:autoSpaceDN w:val="0"/>
        <w:adjustRightInd w:val="0"/>
        <w:jc w:val="both"/>
        <w:outlineLvl w:val="0"/>
        <w:rPr>
          <w:color w:val="000000"/>
          <w:szCs w:val="24"/>
        </w:rPr>
      </w:pPr>
      <w:r w:rsidRPr="00DA3428">
        <w:rPr>
          <w:color w:val="000000"/>
          <w:szCs w:val="24"/>
        </w:rPr>
        <w:t>---------------------------------------------------------------</w:t>
      </w:r>
    </w:p>
    <w:p w14:paraId="7B7AA032" w14:textId="77777777" w:rsidR="00E96EAD" w:rsidRPr="00DA3428" w:rsidRDefault="00E96EAD" w:rsidP="003B4C6A">
      <w:pPr>
        <w:autoSpaceDE w:val="0"/>
        <w:autoSpaceDN w:val="0"/>
        <w:adjustRightInd w:val="0"/>
        <w:ind w:firstLine="5040"/>
        <w:jc w:val="both"/>
        <w:rPr>
          <w:color w:val="000000"/>
          <w:szCs w:val="24"/>
        </w:rPr>
      </w:pPr>
      <w:r>
        <w:rPr>
          <w:color w:val="000000"/>
          <w:szCs w:val="24"/>
        </w:rPr>
        <w:t>)</w:t>
      </w:r>
      <w:r w:rsidRPr="00DA3428">
        <w:rPr>
          <w:color w:val="000000"/>
          <w:szCs w:val="24"/>
        </w:rPr>
        <w:t xml:space="preserve"> </w:t>
      </w:r>
    </w:p>
    <w:p w14:paraId="2A608BF0" w14:textId="77777777" w:rsidR="00E96EAD" w:rsidRPr="00DA3428" w:rsidRDefault="00E96EAD" w:rsidP="003B4C6A">
      <w:pPr>
        <w:autoSpaceDE w:val="0"/>
        <w:autoSpaceDN w:val="0"/>
        <w:adjustRightInd w:val="0"/>
        <w:ind w:firstLine="5040"/>
        <w:jc w:val="both"/>
        <w:rPr>
          <w:color w:val="000000"/>
          <w:szCs w:val="24"/>
        </w:rPr>
      </w:pPr>
      <w:r>
        <w:rPr>
          <w:color w:val="000000"/>
          <w:szCs w:val="24"/>
        </w:rPr>
        <w:t>)</w:t>
      </w:r>
      <w:r w:rsidRPr="00DA3428">
        <w:rPr>
          <w:color w:val="000000"/>
          <w:szCs w:val="24"/>
        </w:rPr>
        <w:t xml:space="preserve"> </w:t>
      </w:r>
    </w:p>
    <w:p w14:paraId="54E52DB5" w14:textId="77777777" w:rsidR="00E96EAD" w:rsidRPr="00DA3428" w:rsidRDefault="00E96EAD" w:rsidP="003B4C6A">
      <w:pPr>
        <w:autoSpaceDE w:val="0"/>
        <w:autoSpaceDN w:val="0"/>
        <w:adjustRightInd w:val="0"/>
        <w:ind w:firstLine="5040"/>
        <w:jc w:val="both"/>
        <w:rPr>
          <w:color w:val="000000"/>
          <w:szCs w:val="24"/>
        </w:rPr>
      </w:pPr>
      <w:r>
        <w:rPr>
          <w:color w:val="000000"/>
          <w:szCs w:val="24"/>
        </w:rPr>
        <w:t>)</w:t>
      </w:r>
      <w:r w:rsidRPr="00DA3428">
        <w:rPr>
          <w:color w:val="000000"/>
          <w:szCs w:val="24"/>
        </w:rPr>
        <w:t xml:space="preserve"> </w:t>
      </w:r>
    </w:p>
    <w:p w14:paraId="77176971" w14:textId="4A05AB6B" w:rsidR="00E96EAD" w:rsidRPr="00DA3428" w:rsidRDefault="00E96EAD" w:rsidP="003B4C6A">
      <w:pPr>
        <w:autoSpaceDE w:val="0"/>
        <w:autoSpaceDN w:val="0"/>
        <w:adjustRightInd w:val="0"/>
        <w:ind w:left="5040" w:hanging="2160"/>
        <w:jc w:val="both"/>
        <w:rPr>
          <w:color w:val="000000"/>
          <w:szCs w:val="24"/>
        </w:rPr>
      </w:pPr>
      <w:r w:rsidRPr="00DA3428">
        <w:rPr>
          <w:color w:val="000000"/>
          <w:szCs w:val="24"/>
        </w:rPr>
        <w:t xml:space="preserve">Plaintiff(s), </w:t>
      </w:r>
      <w:r w:rsidRPr="00DA3428">
        <w:rPr>
          <w:color w:val="000000"/>
          <w:szCs w:val="24"/>
        </w:rPr>
        <w:tab/>
      </w:r>
      <w:r>
        <w:rPr>
          <w:color w:val="000000"/>
          <w:szCs w:val="24"/>
        </w:rPr>
        <w:t>)</w:t>
      </w:r>
      <w:r w:rsidRPr="00DA3428">
        <w:rPr>
          <w:color w:val="000000"/>
          <w:szCs w:val="24"/>
        </w:rPr>
        <w:t xml:space="preserve"> </w:t>
      </w:r>
      <w:r w:rsidRPr="00DA3428">
        <w:rPr>
          <w:color w:val="000000"/>
          <w:szCs w:val="24"/>
        </w:rPr>
        <w:tab/>
        <w:t xml:space="preserve"> </w:t>
      </w:r>
    </w:p>
    <w:p w14:paraId="58351B72" w14:textId="77777777" w:rsidR="00E96EAD" w:rsidRPr="00DA3428" w:rsidRDefault="00E96EAD" w:rsidP="003B4C6A">
      <w:pPr>
        <w:autoSpaceDE w:val="0"/>
        <w:autoSpaceDN w:val="0"/>
        <w:adjustRightInd w:val="0"/>
        <w:ind w:left="4320" w:firstLine="720"/>
        <w:jc w:val="both"/>
        <w:rPr>
          <w:color w:val="000000"/>
          <w:szCs w:val="24"/>
        </w:rPr>
      </w:pPr>
      <w:r>
        <w:rPr>
          <w:color w:val="000000"/>
          <w:szCs w:val="24"/>
        </w:rPr>
        <w:t>)</w:t>
      </w:r>
      <w:r w:rsidRPr="00DA3428">
        <w:rPr>
          <w:color w:val="000000"/>
          <w:szCs w:val="24"/>
        </w:rPr>
        <w:t xml:space="preserve">  </w:t>
      </w:r>
      <w:r w:rsidR="00623DD1">
        <w:rPr>
          <w:color w:val="000000"/>
          <w:szCs w:val="24"/>
        </w:rPr>
        <w:tab/>
      </w:r>
      <w:r w:rsidRPr="00DA3428">
        <w:rPr>
          <w:color w:val="000000"/>
          <w:szCs w:val="24"/>
        </w:rPr>
        <w:t xml:space="preserve">  </w:t>
      </w:r>
      <w:smartTag w:uri="schemas-westgroup-com/westlawcitation" w:element="typecases">
        <w:smartTagPr>
          <w:attr w:name="TagPropertiesCategory" w:val="4"/>
          <w:attr w:name="TagPropertiesJuris" w:val="1"/>
          <w:attr w:name="TagPropertiesShortForm" w:val="Pres. Proc. No. __________"/>
          <w:attr w:name="TagPropertiesLongForm" w:val="Proc. No.__________"/>
          <w:attr w:name="TagPropertiesForm" w:val="0"/>
          <w:attr w:name="TagPropertiesKey_Link" w:val="Pres. Proc. No. __________"/>
        </w:smartTagPr>
        <w:r w:rsidRPr="00DA3428">
          <w:rPr>
            <w:color w:val="000000"/>
            <w:szCs w:val="24"/>
          </w:rPr>
          <w:t>Adv. Proc. No.__________</w:t>
        </w:r>
      </w:smartTag>
      <w:r w:rsidRPr="00DA3428">
        <w:rPr>
          <w:color w:val="000000"/>
          <w:szCs w:val="24"/>
        </w:rPr>
        <w:t>(</w:t>
      </w:r>
      <w:r>
        <w:rPr>
          <w:color w:val="000000"/>
          <w:szCs w:val="24"/>
        </w:rPr>
        <w:t>DSJ</w:t>
      </w:r>
      <w:r w:rsidRPr="00DA3428">
        <w:rPr>
          <w:color w:val="000000"/>
          <w:szCs w:val="24"/>
        </w:rPr>
        <w:t xml:space="preserve">) </w:t>
      </w:r>
    </w:p>
    <w:p w14:paraId="086AC6F3" w14:textId="1095485C" w:rsidR="00E96EAD" w:rsidRPr="00DA3428" w:rsidRDefault="00E96EAD" w:rsidP="003B4C6A">
      <w:pPr>
        <w:autoSpaceDE w:val="0"/>
        <w:autoSpaceDN w:val="0"/>
        <w:adjustRightInd w:val="0"/>
        <w:ind w:left="5040" w:hanging="3600"/>
        <w:jc w:val="both"/>
        <w:rPr>
          <w:color w:val="000000"/>
          <w:szCs w:val="24"/>
        </w:rPr>
      </w:pPr>
      <w:r w:rsidRPr="00DA3428">
        <w:rPr>
          <w:color w:val="000000"/>
          <w:szCs w:val="24"/>
        </w:rPr>
        <w:t>- against -</w:t>
      </w:r>
      <w:r w:rsidRPr="00DA3428">
        <w:rPr>
          <w:color w:val="000000"/>
          <w:szCs w:val="24"/>
        </w:rPr>
        <w:tab/>
      </w:r>
      <w:r>
        <w:rPr>
          <w:color w:val="000000"/>
          <w:szCs w:val="24"/>
        </w:rPr>
        <w:t>)</w:t>
      </w:r>
      <w:r w:rsidRPr="00DA3428">
        <w:rPr>
          <w:color w:val="000000"/>
          <w:szCs w:val="24"/>
        </w:rPr>
        <w:t xml:space="preserve"> </w:t>
      </w:r>
    </w:p>
    <w:p w14:paraId="035F064A" w14:textId="77777777" w:rsidR="00E96EAD" w:rsidRPr="00DA3428" w:rsidRDefault="00E96EAD" w:rsidP="003B4C6A">
      <w:pPr>
        <w:autoSpaceDE w:val="0"/>
        <w:autoSpaceDN w:val="0"/>
        <w:adjustRightInd w:val="0"/>
        <w:ind w:left="5760" w:hanging="720"/>
        <w:jc w:val="both"/>
        <w:rPr>
          <w:color w:val="000000"/>
          <w:szCs w:val="24"/>
        </w:rPr>
      </w:pPr>
      <w:r>
        <w:rPr>
          <w:color w:val="000000"/>
          <w:szCs w:val="24"/>
        </w:rPr>
        <w:t>)</w:t>
      </w:r>
      <w:r w:rsidRPr="00DA3428">
        <w:rPr>
          <w:color w:val="000000"/>
          <w:szCs w:val="24"/>
        </w:rPr>
        <w:t xml:space="preserve"> </w:t>
      </w:r>
    </w:p>
    <w:p w14:paraId="6F80E639" w14:textId="77777777" w:rsidR="00E96EAD" w:rsidRPr="00DA3428" w:rsidRDefault="00E96EAD" w:rsidP="003B4C6A">
      <w:pPr>
        <w:autoSpaceDE w:val="0"/>
        <w:autoSpaceDN w:val="0"/>
        <w:adjustRightInd w:val="0"/>
        <w:ind w:left="5760" w:hanging="720"/>
        <w:jc w:val="both"/>
        <w:rPr>
          <w:color w:val="000000"/>
          <w:szCs w:val="24"/>
        </w:rPr>
      </w:pPr>
      <w:r>
        <w:rPr>
          <w:color w:val="000000"/>
          <w:szCs w:val="24"/>
        </w:rPr>
        <w:t>)</w:t>
      </w:r>
      <w:r w:rsidRPr="00DA3428">
        <w:rPr>
          <w:color w:val="000000"/>
          <w:szCs w:val="24"/>
        </w:rPr>
        <w:t xml:space="preserve"> </w:t>
      </w:r>
      <w:r w:rsidRPr="00DA3428">
        <w:rPr>
          <w:color w:val="000000"/>
          <w:szCs w:val="24"/>
        </w:rPr>
        <w:tab/>
      </w:r>
    </w:p>
    <w:p w14:paraId="3F0D1264" w14:textId="1E88CFF3" w:rsidR="00E96EAD" w:rsidRPr="00DA3428" w:rsidRDefault="00E96EAD" w:rsidP="003B4C6A">
      <w:pPr>
        <w:autoSpaceDE w:val="0"/>
        <w:autoSpaceDN w:val="0"/>
        <w:adjustRightInd w:val="0"/>
        <w:ind w:left="5040" w:hanging="2160"/>
        <w:jc w:val="both"/>
        <w:rPr>
          <w:color w:val="000000"/>
          <w:szCs w:val="24"/>
        </w:rPr>
      </w:pPr>
      <w:r w:rsidRPr="00DA3428">
        <w:rPr>
          <w:color w:val="000000"/>
          <w:szCs w:val="24"/>
        </w:rPr>
        <w:t xml:space="preserve">Defendant(s). </w:t>
      </w:r>
      <w:r w:rsidRPr="00DA3428">
        <w:rPr>
          <w:color w:val="000000"/>
          <w:szCs w:val="24"/>
        </w:rPr>
        <w:tab/>
      </w:r>
      <w:r>
        <w:rPr>
          <w:color w:val="000000"/>
          <w:szCs w:val="24"/>
        </w:rPr>
        <w:t>)</w:t>
      </w:r>
      <w:r w:rsidRPr="00DA3428">
        <w:rPr>
          <w:color w:val="000000"/>
          <w:szCs w:val="24"/>
        </w:rPr>
        <w:t xml:space="preserve"> </w:t>
      </w:r>
    </w:p>
    <w:p w14:paraId="73875F91" w14:textId="77777777" w:rsidR="00E96EAD" w:rsidRPr="00DA3428" w:rsidRDefault="00E96EAD" w:rsidP="003B4C6A">
      <w:pPr>
        <w:autoSpaceDE w:val="0"/>
        <w:autoSpaceDN w:val="0"/>
        <w:adjustRightInd w:val="0"/>
        <w:ind w:left="5040"/>
        <w:jc w:val="both"/>
        <w:rPr>
          <w:color w:val="000000"/>
          <w:szCs w:val="24"/>
        </w:rPr>
      </w:pPr>
      <w:r>
        <w:rPr>
          <w:color w:val="000000"/>
          <w:szCs w:val="24"/>
        </w:rPr>
        <w:t>)</w:t>
      </w:r>
      <w:r w:rsidRPr="00DA3428">
        <w:rPr>
          <w:color w:val="000000"/>
          <w:szCs w:val="24"/>
        </w:rPr>
        <w:t xml:space="preserve"> </w:t>
      </w:r>
    </w:p>
    <w:p w14:paraId="2B6A2454" w14:textId="77777777" w:rsidR="00E96EAD" w:rsidRPr="00DA3428" w:rsidRDefault="00E96EAD" w:rsidP="003B4C6A">
      <w:pPr>
        <w:autoSpaceDE w:val="0"/>
        <w:autoSpaceDN w:val="0"/>
        <w:adjustRightInd w:val="0"/>
        <w:jc w:val="both"/>
        <w:rPr>
          <w:color w:val="000000"/>
          <w:szCs w:val="24"/>
        </w:rPr>
      </w:pPr>
      <w:r w:rsidRPr="00DA3428">
        <w:rPr>
          <w:color w:val="000000"/>
          <w:szCs w:val="24"/>
        </w:rPr>
        <w:t xml:space="preserve">--------------------------------------------------------------- </w:t>
      </w:r>
    </w:p>
    <w:p w14:paraId="0807F290" w14:textId="77777777" w:rsidR="00254A26" w:rsidRDefault="00254A26" w:rsidP="003B4C6A">
      <w:pPr>
        <w:jc w:val="both"/>
      </w:pPr>
    </w:p>
    <w:p w14:paraId="33F137A2" w14:textId="68A38A5A" w:rsidR="00737DE1" w:rsidRPr="00737DE1" w:rsidRDefault="00737DE1" w:rsidP="00380EBF">
      <w:pPr>
        <w:jc w:val="center"/>
        <w:rPr>
          <w:u w:val="single"/>
        </w:rPr>
      </w:pPr>
      <w:r w:rsidRPr="00737DE1">
        <w:rPr>
          <w:b/>
          <w:u w:val="single"/>
        </w:rPr>
        <w:t>SCHEDULING</w:t>
      </w:r>
      <w:r>
        <w:rPr>
          <w:b/>
          <w:u w:val="single"/>
        </w:rPr>
        <w:t xml:space="preserve"> </w:t>
      </w:r>
      <w:r w:rsidRPr="00737DE1">
        <w:rPr>
          <w:b/>
          <w:u w:val="single"/>
        </w:rPr>
        <w:t>ORDER</w:t>
      </w:r>
    </w:p>
    <w:p w14:paraId="47F019F8" w14:textId="77777777" w:rsidR="00737DE1" w:rsidRDefault="00737DE1" w:rsidP="003B4C6A">
      <w:pPr>
        <w:jc w:val="both"/>
      </w:pPr>
    </w:p>
    <w:p w14:paraId="612109F2" w14:textId="77777777" w:rsidR="00254A26" w:rsidRDefault="00254A26" w:rsidP="003B4C6A">
      <w:pPr>
        <w:jc w:val="both"/>
      </w:pPr>
      <w:r>
        <w:rPr>
          <w:b/>
        </w:rPr>
        <w:tab/>
      </w:r>
      <w:r w:rsidR="00C64BB1">
        <w:rPr>
          <w:b/>
        </w:rPr>
        <w:t xml:space="preserve">The parties cannot amend this </w:t>
      </w:r>
      <w:r w:rsidR="00737DE1">
        <w:rPr>
          <w:b/>
        </w:rPr>
        <w:t>o</w:t>
      </w:r>
      <w:r w:rsidR="00C64BB1">
        <w:rPr>
          <w:b/>
        </w:rPr>
        <w:t>rder by stipulation or otherwise, and the Court will not amend it unless presented with (i) proof of cause beyond the control of the party seeking amendment and (ii) timely application as soon as possible after the party seeking amendment learns of the cause.  FAILURE TO COMPLY WITH</w:t>
      </w:r>
      <w:r w:rsidR="00737DE1">
        <w:rPr>
          <w:b/>
        </w:rPr>
        <w:t xml:space="preserve"> </w:t>
      </w:r>
      <w:r w:rsidR="00C64BB1">
        <w:rPr>
          <w:b/>
        </w:rPr>
        <w:t xml:space="preserve">THIS ORDER </w:t>
      </w:r>
      <w:r w:rsidR="00737DE1">
        <w:rPr>
          <w:b/>
        </w:rPr>
        <w:t xml:space="preserve">MAY </w:t>
      </w:r>
      <w:r w:rsidR="00C64BB1">
        <w:rPr>
          <w:b/>
        </w:rPr>
        <w:t>RESULT IN DISMISSAL OR OTHER SANCTION.  If delay or other act</w:t>
      </w:r>
      <w:r w:rsidR="000C02B6">
        <w:rPr>
          <w:b/>
        </w:rPr>
        <w:t xml:space="preserve"> or omission of your adversary may result in a sanction against you, it is incumbent on you to promptly bring this matter to the Court for relief.</w:t>
      </w:r>
    </w:p>
    <w:p w14:paraId="4B87745C" w14:textId="77777777" w:rsidR="000C02B6" w:rsidRDefault="000C02B6" w:rsidP="003B4C6A">
      <w:pPr>
        <w:jc w:val="both"/>
      </w:pPr>
    </w:p>
    <w:p w14:paraId="2687D965" w14:textId="77777777" w:rsidR="00764658" w:rsidRDefault="000C02B6" w:rsidP="003B4C6A">
      <w:pPr>
        <w:jc w:val="both"/>
      </w:pPr>
      <w:r>
        <w:tab/>
        <w:t>It is hereby ORDERED as follows:</w:t>
      </w:r>
    </w:p>
    <w:p w14:paraId="44ABC7B7" w14:textId="77777777" w:rsidR="00764658" w:rsidRDefault="00764658" w:rsidP="003B4C6A">
      <w:pPr>
        <w:jc w:val="both"/>
      </w:pPr>
    </w:p>
    <w:p w14:paraId="1BADE400" w14:textId="38E8600B" w:rsidR="00952E13" w:rsidRDefault="00952E13" w:rsidP="003B4C6A">
      <w:pPr>
        <w:numPr>
          <w:ilvl w:val="0"/>
          <w:numId w:val="4"/>
        </w:numPr>
        <w:jc w:val="both"/>
      </w:pPr>
      <w:r>
        <w:t>Initial disclosures pursuant to Bankruptcy Rule 7026 and Fed. R. Civ. P. 26(a)(1) shall be served on or before ________________.</w:t>
      </w:r>
    </w:p>
    <w:p w14:paraId="220B6053" w14:textId="77777777" w:rsidR="004676D9" w:rsidRDefault="004676D9" w:rsidP="003B4C6A">
      <w:pPr>
        <w:ind w:left="1449"/>
        <w:jc w:val="both"/>
      </w:pPr>
    </w:p>
    <w:p w14:paraId="1C10C065" w14:textId="77777777" w:rsidR="00DA0BD9" w:rsidRDefault="000C02B6" w:rsidP="003B4C6A">
      <w:pPr>
        <w:numPr>
          <w:ilvl w:val="0"/>
          <w:numId w:val="4"/>
        </w:numPr>
        <w:jc w:val="both"/>
      </w:pPr>
      <w:r>
        <w:t>All discovery</w:t>
      </w:r>
      <w:r w:rsidR="00764658">
        <w:t xml:space="preserve"> shall be completed by _________  __ ,_______. </w:t>
      </w:r>
      <w:r w:rsidR="004D0C5B">
        <w:t>Interim discovery deadlines (fact versus expert, written versus testimonial, party and non-party, etc.) [if any] are as follows: _________________________________________________________________.</w:t>
      </w:r>
    </w:p>
    <w:p w14:paraId="49B1A228" w14:textId="77777777" w:rsidR="00DA0BD9" w:rsidRDefault="00DA0BD9" w:rsidP="003B4C6A">
      <w:pPr>
        <w:pStyle w:val="ListParagraph"/>
        <w:jc w:val="both"/>
      </w:pPr>
    </w:p>
    <w:p w14:paraId="0D199106" w14:textId="2C12CFFF" w:rsidR="00E43FDB" w:rsidRDefault="00764658" w:rsidP="003B4C6A">
      <w:pPr>
        <w:numPr>
          <w:ilvl w:val="0"/>
          <w:numId w:val="4"/>
        </w:numPr>
        <w:jc w:val="both"/>
      </w:pPr>
      <w:r>
        <w:t xml:space="preserve">In the event of </w:t>
      </w:r>
      <w:r w:rsidR="00156205">
        <w:t xml:space="preserve">a </w:t>
      </w:r>
      <w:r>
        <w:t>dispute over discover</w:t>
      </w:r>
      <w:r w:rsidR="008042BC">
        <w:t>y</w:t>
      </w:r>
      <w:r>
        <w:t>,</w:t>
      </w:r>
      <w:r w:rsidR="008042BC">
        <w:t xml:space="preserve"> counsel</w:t>
      </w:r>
      <w:r w:rsidR="00DA0BD9">
        <w:t xml:space="preserve"> and any self-represented party </w:t>
      </w:r>
      <w:r w:rsidR="008042BC">
        <w:t>shall promptly confer to attempt in good faith to resolve the dispute</w:t>
      </w:r>
      <w:r w:rsidR="008F0D49">
        <w:t>.</w:t>
      </w:r>
      <w:r w:rsidR="00952E13">
        <w:t xml:space="preserve"> </w:t>
      </w:r>
      <w:r w:rsidR="008F0D49">
        <w:t>I</w:t>
      </w:r>
      <w:r w:rsidR="008042BC">
        <w:t xml:space="preserve">f, notwithstanding their good faith efforts to do so, they are unable to resolve a </w:t>
      </w:r>
      <w:r w:rsidR="008042BC">
        <w:lastRenderedPageBreak/>
        <w:t>discovery issue, they shall promptly inform the Court by letter of the nature of the dispute and request a discovery conference</w:t>
      </w:r>
      <w:r w:rsidR="00DA0BD9">
        <w:t>, which ordinarily will be conducted on the record via Zoom for Government</w:t>
      </w:r>
      <w:r w:rsidR="00E43FDB">
        <w:t>.</w:t>
      </w:r>
      <w:r w:rsidR="00737DE1">
        <w:t xml:space="preserve"> At the conference, the Court will ask the parties about their prior efforts to resolve the dispute.</w:t>
      </w:r>
      <w:r w:rsidR="004D0C5B">
        <w:t xml:space="preserve"> </w:t>
      </w:r>
      <w:r w:rsidR="004D0C5B">
        <w:rPr>
          <w:b/>
          <w:bCs/>
        </w:rPr>
        <w:t xml:space="preserve">Parties whose adversaries cause delay should promptly seek relief. The Court disfavors requests for adjournments </w:t>
      </w:r>
      <w:r w:rsidR="00DA0BD9">
        <w:rPr>
          <w:b/>
          <w:bCs/>
        </w:rPr>
        <w:t xml:space="preserve">that follow a long-running </w:t>
      </w:r>
      <w:r w:rsidR="004D0C5B">
        <w:rPr>
          <w:b/>
          <w:bCs/>
        </w:rPr>
        <w:t>lack of progress.</w:t>
      </w:r>
    </w:p>
    <w:p w14:paraId="28DD48FB" w14:textId="77777777" w:rsidR="00737DE1" w:rsidRDefault="00737DE1" w:rsidP="003B4C6A">
      <w:pPr>
        <w:ind w:left="1449"/>
        <w:jc w:val="both"/>
      </w:pPr>
    </w:p>
    <w:p w14:paraId="7FF3ED5E" w14:textId="77777777" w:rsidR="00DA0BD9" w:rsidRDefault="00952E13" w:rsidP="003B4C6A">
      <w:pPr>
        <w:numPr>
          <w:ilvl w:val="0"/>
          <w:numId w:val="4"/>
        </w:numPr>
        <w:jc w:val="both"/>
      </w:pPr>
      <w:r>
        <w:t xml:space="preserve">The Court </w:t>
      </w:r>
      <w:r w:rsidR="004676D9">
        <w:t xml:space="preserve">typically </w:t>
      </w:r>
      <w:r>
        <w:t xml:space="preserve">will conduct a pretrial conference </w:t>
      </w:r>
      <w:r w:rsidR="004676D9">
        <w:t xml:space="preserve">three </w:t>
      </w:r>
      <w:r>
        <w:t xml:space="preserve">to </w:t>
      </w:r>
      <w:r w:rsidR="004676D9">
        <w:t xml:space="preserve">five </w:t>
      </w:r>
      <w:r>
        <w:t xml:space="preserve">weeks after the close of discovery, in this case on __________________. </w:t>
      </w:r>
    </w:p>
    <w:p w14:paraId="4BE62E9A" w14:textId="77777777" w:rsidR="00DA0BD9" w:rsidRDefault="00DA0BD9" w:rsidP="003B4C6A">
      <w:pPr>
        <w:pStyle w:val="ListParagraph"/>
        <w:jc w:val="both"/>
      </w:pPr>
    </w:p>
    <w:p w14:paraId="0927CB84" w14:textId="6133931E" w:rsidR="00952E13" w:rsidRDefault="00952E13" w:rsidP="003B4C6A">
      <w:pPr>
        <w:numPr>
          <w:ilvl w:val="0"/>
          <w:numId w:val="4"/>
        </w:numPr>
        <w:jc w:val="both"/>
      </w:pPr>
      <w:r>
        <w:t xml:space="preserve">Any party wishing to move for summary judgment must file a letter request for a premotion conference pursuant to Local Bankruptcy Rule </w:t>
      </w:r>
      <w:r w:rsidR="004D0C5B">
        <w:t>7056-1(a)</w:t>
      </w:r>
      <w:r>
        <w:t xml:space="preserve"> no later than 14 days before the </w:t>
      </w:r>
      <w:r w:rsidR="00CF5E56">
        <w:t>post-</w:t>
      </w:r>
      <w:r>
        <w:t xml:space="preserve">discovery pretrial conference, which will then also serve as a premotion conference. Any response to a premotion conference request shall be served not less than </w:t>
      </w:r>
      <w:r w:rsidR="004676D9">
        <w:t>7</w:t>
      </w:r>
      <w:r>
        <w:t xml:space="preserve"> days before the conference. </w:t>
      </w:r>
      <w:r w:rsidR="00DA0BD9">
        <w:t xml:space="preserve">Failure to comply with this timing requirement </w:t>
      </w:r>
      <w:r w:rsidR="00802FCC">
        <w:t xml:space="preserve">without advance Court authorization </w:t>
      </w:r>
      <w:r w:rsidR="00DA0BD9">
        <w:t>may cause the proposed motion to be denied as untimely.</w:t>
      </w:r>
    </w:p>
    <w:p w14:paraId="56B745D1" w14:textId="77777777" w:rsidR="00952E13" w:rsidRDefault="00952E13" w:rsidP="003B4C6A">
      <w:pPr>
        <w:pStyle w:val="ListParagraph"/>
        <w:jc w:val="both"/>
      </w:pPr>
    </w:p>
    <w:p w14:paraId="147EEB62" w14:textId="7C3CC612" w:rsidR="00081D6E" w:rsidRDefault="00952E13" w:rsidP="003B4C6A">
      <w:pPr>
        <w:numPr>
          <w:ilvl w:val="0"/>
          <w:numId w:val="4"/>
        </w:numPr>
        <w:jc w:val="both"/>
      </w:pPr>
      <w:r>
        <w:t xml:space="preserve">If summary judgment briefing is not approved </w:t>
      </w:r>
      <w:r w:rsidR="002F34DD">
        <w:t xml:space="preserve">or was not requested, the Court will </w:t>
      </w:r>
      <w:r w:rsidR="004676D9">
        <w:t xml:space="preserve">set </w:t>
      </w:r>
      <w:r>
        <w:t>specific deadlines</w:t>
      </w:r>
      <w:r w:rsidR="002F34DD">
        <w:t xml:space="preserve"> at the post-discovery pretrial conference</w:t>
      </w:r>
      <w:r>
        <w:t xml:space="preserve"> for all needed steps to make the case trial-ready, </w:t>
      </w:r>
      <w:r w:rsidR="004D0C5B">
        <w:t xml:space="preserve">including </w:t>
      </w:r>
      <w:r w:rsidR="004676D9">
        <w:t>the</w:t>
      </w:r>
      <w:r w:rsidR="00081D6E">
        <w:t>:</w:t>
      </w:r>
      <w:r w:rsidR="004676D9">
        <w:t xml:space="preserve"> </w:t>
      </w:r>
    </w:p>
    <w:p w14:paraId="6418C9DE" w14:textId="77777777" w:rsidR="00081D6E" w:rsidRDefault="00081D6E" w:rsidP="003B4C6A">
      <w:pPr>
        <w:pStyle w:val="ListParagraph"/>
        <w:jc w:val="both"/>
      </w:pPr>
    </w:p>
    <w:p w14:paraId="302604B4" w14:textId="187C72C7" w:rsidR="00081D6E" w:rsidRDefault="004676D9" w:rsidP="003B4C6A">
      <w:pPr>
        <w:numPr>
          <w:ilvl w:val="1"/>
          <w:numId w:val="4"/>
        </w:numPr>
        <w:jc w:val="both"/>
      </w:pPr>
      <w:r>
        <w:t xml:space="preserve">exchange of exhibit lists and marked exhibits; </w:t>
      </w:r>
    </w:p>
    <w:p w14:paraId="1CC835A3" w14:textId="5A4AD929" w:rsidR="00081D6E" w:rsidRDefault="004676D9" w:rsidP="003B4C6A">
      <w:pPr>
        <w:numPr>
          <w:ilvl w:val="1"/>
          <w:numId w:val="4"/>
        </w:numPr>
        <w:jc w:val="both"/>
      </w:pPr>
      <w:r>
        <w:t xml:space="preserve">identification of any objections thereto as to authenticity and/or admissibility; </w:t>
      </w:r>
    </w:p>
    <w:p w14:paraId="2A0FB405" w14:textId="0479EF50" w:rsidR="00081D6E" w:rsidRDefault="004676D9" w:rsidP="003B4C6A">
      <w:pPr>
        <w:numPr>
          <w:ilvl w:val="1"/>
          <w:numId w:val="4"/>
        </w:numPr>
        <w:jc w:val="both"/>
      </w:pPr>
      <w:r>
        <w:t xml:space="preserve">exchange of witness lists; </w:t>
      </w:r>
    </w:p>
    <w:p w14:paraId="55E7E56D" w14:textId="54DE7560" w:rsidR="00081D6E" w:rsidRDefault="004676D9" w:rsidP="003B4C6A">
      <w:pPr>
        <w:numPr>
          <w:ilvl w:val="1"/>
          <w:numId w:val="4"/>
        </w:numPr>
        <w:jc w:val="both"/>
      </w:pPr>
      <w:r>
        <w:t xml:space="preserve">filing of and responses to any motions in limine </w:t>
      </w:r>
      <w:r w:rsidR="004D0C5B">
        <w:t>(</w:t>
      </w:r>
      <w:r>
        <w:t xml:space="preserve">which the Court encourages to minimize evidentiary and case-management uncertainty at trial); </w:t>
      </w:r>
    </w:p>
    <w:p w14:paraId="39EADDDB" w14:textId="7549CF3F" w:rsidR="00081D6E" w:rsidRDefault="004676D9" w:rsidP="003B4C6A">
      <w:pPr>
        <w:numPr>
          <w:ilvl w:val="1"/>
          <w:numId w:val="4"/>
        </w:numPr>
        <w:jc w:val="both"/>
      </w:pPr>
      <w:r>
        <w:t xml:space="preserve">submission of a proposed joint pretrial order; </w:t>
      </w:r>
      <w:r w:rsidR="00081D6E">
        <w:t xml:space="preserve">and </w:t>
      </w:r>
    </w:p>
    <w:p w14:paraId="354BFD79" w14:textId="5BCECFE2" w:rsidR="00081D6E" w:rsidRDefault="004676D9" w:rsidP="003B4C6A">
      <w:pPr>
        <w:numPr>
          <w:ilvl w:val="1"/>
          <w:numId w:val="4"/>
        </w:numPr>
        <w:jc w:val="both"/>
      </w:pPr>
      <w:r>
        <w:t>submission of sworn written statements in lieu of live direct testimony as well as any proposal to present live direct testimony</w:t>
      </w:r>
      <w:r w:rsidR="00AE4F25">
        <w:t>,</w:t>
      </w:r>
      <w:r>
        <w:t xml:space="preserve"> and the identities of any witnesses whom any party wishes to cross examine during trial. </w:t>
      </w:r>
    </w:p>
    <w:p w14:paraId="39B269B2" w14:textId="77777777" w:rsidR="00081D6E" w:rsidRDefault="00081D6E" w:rsidP="003B4C6A">
      <w:pPr>
        <w:ind w:left="720" w:firstLine="720"/>
        <w:jc w:val="both"/>
      </w:pPr>
    </w:p>
    <w:p w14:paraId="4C4588B2" w14:textId="326B379F" w:rsidR="00737DE1" w:rsidRDefault="002F34DD" w:rsidP="003B4C6A">
      <w:pPr>
        <w:ind w:left="1809"/>
        <w:jc w:val="both"/>
      </w:pPr>
      <w:r>
        <w:t>The Court anticipates setting deadlines tailored to the circumstances of the individual case</w:t>
      </w:r>
      <w:r w:rsidR="007D50AB">
        <w:t>. U</w:t>
      </w:r>
      <w:r w:rsidR="00081D6E">
        <w:t>nless otherwise ordered, the deadlines set forth in the Court’s chamber’s rules (Evidentiary Hearings and Trials) apply</w:t>
      </w:r>
      <w:r>
        <w:t xml:space="preserve">. </w:t>
      </w:r>
      <w:r w:rsidR="004676D9">
        <w:t>The parties mus</w:t>
      </w:r>
      <w:r w:rsidR="00081D6E">
        <w:t xml:space="preserve">t </w:t>
      </w:r>
      <w:r w:rsidR="00DA0BD9">
        <w:t xml:space="preserve">meet and confer so as to </w:t>
      </w:r>
      <w:r w:rsidR="004676D9">
        <w:t xml:space="preserve">be prepared to discuss these </w:t>
      </w:r>
      <w:r w:rsidR="00081D6E">
        <w:t>topics during</w:t>
      </w:r>
      <w:r w:rsidR="004676D9">
        <w:t xml:space="preserve"> the post-discovery pretrial conference, and also should identify </w:t>
      </w:r>
      <w:r w:rsidR="00952E13">
        <w:t>any other procedural matters that the parties believe would assist in making the case trial-ready.</w:t>
      </w:r>
      <w:r w:rsidR="00081D6E">
        <w:t xml:space="preserve"> </w:t>
      </w:r>
      <w:r w:rsidR="00802FCC">
        <w:t>Within two days following the conference, t</w:t>
      </w:r>
      <w:r w:rsidR="00081D6E">
        <w:t xml:space="preserve">he parties must submit </w:t>
      </w:r>
      <w:r w:rsidR="000B45AC">
        <w:t xml:space="preserve">to chambers </w:t>
      </w:r>
      <w:r w:rsidR="00081D6E">
        <w:t xml:space="preserve">a </w:t>
      </w:r>
      <w:r w:rsidR="00802FCC">
        <w:t xml:space="preserve">proposed </w:t>
      </w:r>
      <w:r w:rsidR="00081D6E">
        <w:t xml:space="preserve">post-discovery conference order memorializing any deadlines </w:t>
      </w:r>
      <w:r w:rsidR="00802FCC">
        <w:t xml:space="preserve">or other requirements </w:t>
      </w:r>
      <w:r w:rsidR="00081D6E">
        <w:t>set at the conference.</w:t>
      </w:r>
    </w:p>
    <w:p w14:paraId="2299E165" w14:textId="77777777" w:rsidR="00E43FDB" w:rsidRDefault="00E43FDB" w:rsidP="003B4C6A">
      <w:pPr>
        <w:jc w:val="both"/>
      </w:pPr>
    </w:p>
    <w:p w14:paraId="0468932C" w14:textId="4F79C318" w:rsidR="00C92201" w:rsidRDefault="004676D9" w:rsidP="007D50AB">
      <w:pPr>
        <w:numPr>
          <w:ilvl w:val="0"/>
          <w:numId w:val="4"/>
        </w:numPr>
        <w:jc w:val="both"/>
      </w:pPr>
      <w:r>
        <w:t>At the post-discovery pre</w:t>
      </w:r>
      <w:r w:rsidR="004D0C5B">
        <w:t>trial</w:t>
      </w:r>
      <w:r>
        <w:t xml:space="preserve"> conference, if no summary judgment briefing schedule is set, t</w:t>
      </w:r>
      <w:r w:rsidR="00E43FDB">
        <w:t xml:space="preserve">he Court will </w:t>
      </w:r>
      <w:r>
        <w:t xml:space="preserve">schedule </w:t>
      </w:r>
      <w:r w:rsidR="00E43FDB">
        <w:t>a final pretrial conference</w:t>
      </w:r>
      <w:r w:rsidR="00DA0BD9">
        <w:t xml:space="preserve"> either for the </w:t>
      </w:r>
      <w:r w:rsidR="00DA0BD9">
        <w:lastRenderedPageBreak/>
        <w:t>contemplated first day of trial, or for a date shortly before the first trial date. The parties must be trial-ready on the trial date[s] assigned by the Court.</w:t>
      </w:r>
    </w:p>
    <w:p w14:paraId="5B9C02D0" w14:textId="2809EF37" w:rsidR="000B45AC" w:rsidRDefault="000B45AC" w:rsidP="00AE4F25">
      <w:pPr>
        <w:ind w:left="1449"/>
        <w:jc w:val="both"/>
      </w:pPr>
    </w:p>
    <w:p w14:paraId="6DDE3C7B" w14:textId="77777777" w:rsidR="004D0C5B" w:rsidRDefault="004D0C5B" w:rsidP="003B4C6A">
      <w:pPr>
        <w:pStyle w:val="ListParagraph"/>
        <w:jc w:val="both"/>
      </w:pPr>
    </w:p>
    <w:p w14:paraId="15B6AFC1" w14:textId="03E458BE" w:rsidR="004D0C5B" w:rsidRDefault="004D0C5B" w:rsidP="003B4C6A">
      <w:pPr>
        <w:jc w:val="both"/>
      </w:pPr>
      <w:r>
        <w:t>SO ORDERED.</w:t>
      </w:r>
    </w:p>
    <w:p w14:paraId="77BC480A" w14:textId="77777777" w:rsidR="00E256D9" w:rsidRDefault="00E256D9" w:rsidP="003B4C6A">
      <w:pPr>
        <w:jc w:val="both"/>
      </w:pPr>
    </w:p>
    <w:p w14:paraId="626DA232" w14:textId="4B1C1DAC" w:rsidR="004D0C5B" w:rsidRDefault="00E256D9" w:rsidP="003B4C6A">
      <w:pPr>
        <w:jc w:val="both"/>
      </w:pPr>
      <w:r>
        <w:t xml:space="preserve">Dated: </w:t>
      </w:r>
      <w:r w:rsidR="004D0C5B">
        <w:t>New York, New York</w:t>
      </w:r>
    </w:p>
    <w:p w14:paraId="1C9F5C17" w14:textId="0FE3D1CD" w:rsidR="004D0C5B" w:rsidRDefault="00E256D9" w:rsidP="003B4C6A">
      <w:pPr>
        <w:jc w:val="both"/>
      </w:pPr>
      <w:r>
        <w:t xml:space="preserve">           </w:t>
      </w:r>
      <w:r w:rsidR="004D0C5B">
        <w:t>____________, 202_</w:t>
      </w:r>
    </w:p>
    <w:p w14:paraId="3AE2AA4B" w14:textId="77777777" w:rsidR="00C92201" w:rsidRDefault="00C92201" w:rsidP="003B4C6A">
      <w:pPr>
        <w:pStyle w:val="ListParagraph"/>
        <w:jc w:val="both"/>
      </w:pPr>
    </w:p>
    <w:tbl>
      <w:tblPr>
        <w:tblW w:w="0" w:type="auto"/>
        <w:tblInd w:w="72" w:type="dxa"/>
        <w:tblLook w:val="04A0" w:firstRow="1" w:lastRow="0" w:firstColumn="1" w:lastColumn="0" w:noHBand="0" w:noVBand="1"/>
      </w:tblPr>
      <w:tblGrid>
        <w:gridCol w:w="4648"/>
        <w:gridCol w:w="4640"/>
      </w:tblGrid>
      <w:tr w:rsidR="00C91512" w:rsidRPr="00A253AF" w14:paraId="2784811F" w14:textId="77777777" w:rsidTr="004D0C5B">
        <w:tc>
          <w:tcPr>
            <w:tcW w:w="4648" w:type="dxa"/>
            <w:shd w:val="clear" w:color="auto" w:fill="auto"/>
          </w:tcPr>
          <w:p w14:paraId="7B0A13A8" w14:textId="77777777" w:rsidR="00C91512" w:rsidRDefault="00C91512" w:rsidP="003B4C6A">
            <w:pPr>
              <w:widowControl/>
              <w:jc w:val="both"/>
              <w:rPr>
                <w:szCs w:val="24"/>
              </w:rPr>
            </w:pPr>
          </w:p>
          <w:p w14:paraId="59C5FCA6" w14:textId="77777777" w:rsidR="004D0C5B" w:rsidRDefault="004D0C5B" w:rsidP="003B4C6A">
            <w:pPr>
              <w:widowControl/>
              <w:jc w:val="both"/>
              <w:rPr>
                <w:szCs w:val="24"/>
              </w:rPr>
            </w:pPr>
          </w:p>
          <w:p w14:paraId="362CAFBC" w14:textId="77777777" w:rsidR="004D0C5B" w:rsidRPr="00A253AF" w:rsidRDefault="004D0C5B" w:rsidP="003B4C6A">
            <w:pPr>
              <w:widowControl/>
              <w:jc w:val="both"/>
              <w:rPr>
                <w:szCs w:val="24"/>
              </w:rPr>
            </w:pPr>
          </w:p>
        </w:tc>
        <w:tc>
          <w:tcPr>
            <w:tcW w:w="4640" w:type="dxa"/>
            <w:tcBorders>
              <w:top w:val="single" w:sz="4" w:space="0" w:color="auto"/>
            </w:tcBorders>
            <w:shd w:val="clear" w:color="auto" w:fill="auto"/>
          </w:tcPr>
          <w:p w14:paraId="3B8AAFF3" w14:textId="2CCA046E" w:rsidR="00822B84" w:rsidRDefault="00822B84" w:rsidP="007D50AB">
            <w:pPr>
              <w:pStyle w:val="Style2"/>
              <w:kinsoku w:val="0"/>
              <w:autoSpaceDE/>
              <w:autoSpaceDN/>
              <w:spacing w:before="0" w:line="240" w:lineRule="auto"/>
              <w:ind w:left="0" w:right="0" w:firstLine="0"/>
              <w:jc w:val="both"/>
              <w:rPr>
                <w:sz w:val="24"/>
                <w:szCs w:val="24"/>
              </w:rPr>
            </w:pPr>
            <w:r>
              <w:rPr>
                <w:sz w:val="24"/>
                <w:szCs w:val="24"/>
              </w:rPr>
              <w:t>HONORABLE DAVID S. JONES</w:t>
            </w:r>
          </w:p>
          <w:p w14:paraId="6B5E9B9B" w14:textId="22EEBB0D" w:rsidR="00C91512" w:rsidRPr="00A253AF" w:rsidRDefault="00C91512" w:rsidP="007D50AB">
            <w:pPr>
              <w:pStyle w:val="Style2"/>
              <w:kinsoku w:val="0"/>
              <w:autoSpaceDE/>
              <w:autoSpaceDN/>
              <w:spacing w:before="0" w:line="240" w:lineRule="auto"/>
              <w:ind w:left="0" w:right="0" w:firstLine="0"/>
              <w:jc w:val="both"/>
              <w:rPr>
                <w:sz w:val="24"/>
                <w:szCs w:val="24"/>
              </w:rPr>
            </w:pPr>
            <w:r w:rsidRPr="00A253AF">
              <w:rPr>
                <w:sz w:val="24"/>
                <w:szCs w:val="24"/>
              </w:rPr>
              <w:t>UNITED STATES BANKRUPTCY JUDGE</w:t>
            </w:r>
          </w:p>
        </w:tc>
      </w:tr>
    </w:tbl>
    <w:p w14:paraId="49929210" w14:textId="77777777" w:rsidR="00254A26" w:rsidRDefault="00254A26" w:rsidP="003B4C6A">
      <w:pPr>
        <w:jc w:val="both"/>
      </w:pPr>
    </w:p>
    <w:sectPr w:rsidR="00254A26">
      <w:footerReference w:type="even" r:id="rId8"/>
      <w:footerReference w:type="default" r:id="rId9"/>
      <w:endnotePr>
        <w:numFmt w:val="decimal"/>
      </w:endnotePr>
      <w:type w:val="continuous"/>
      <w:pgSz w:w="12240" w:h="15840"/>
      <w:pgMar w:top="1440" w:right="1440" w:bottom="1440" w:left="1440" w:header="21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6A983" w14:textId="77777777" w:rsidR="00EE56C9" w:rsidRDefault="00EE56C9">
      <w:r>
        <w:separator/>
      </w:r>
    </w:p>
  </w:endnote>
  <w:endnote w:type="continuationSeparator" w:id="0">
    <w:p w14:paraId="6D03D704" w14:textId="77777777" w:rsidR="00EE56C9" w:rsidRDefault="00EE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24CF0" w14:textId="77777777" w:rsidR="00737DE1" w:rsidRDefault="00737D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AE744B" w14:textId="77777777" w:rsidR="00737DE1" w:rsidRDefault="00737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1847" w14:textId="77777777" w:rsidR="00737DE1" w:rsidRDefault="00737DE1">
    <w:pPr>
      <w:framePr w:wrap="around" w:vAnchor="text" w:hAnchor="margin" w:xAlign="center" w:y="1"/>
      <w:jc w:val="center"/>
    </w:pPr>
    <w:r>
      <w:fldChar w:fldCharType="begin"/>
    </w:r>
    <w:r>
      <w:instrText xml:space="preserve">PAGE </w:instrText>
    </w:r>
    <w:r>
      <w:fldChar w:fldCharType="separate"/>
    </w:r>
    <w:r w:rsidR="00436CC6">
      <w:rPr>
        <w:noProof/>
      </w:rPr>
      <w:t>1</w:t>
    </w:r>
    <w:r>
      <w:fldChar w:fldCharType="end"/>
    </w:r>
  </w:p>
  <w:p w14:paraId="2C31273F" w14:textId="77777777" w:rsidR="00737DE1" w:rsidRDefault="00737DE1">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A503F" w14:textId="77777777" w:rsidR="00EE56C9" w:rsidRDefault="00EE56C9">
      <w:r>
        <w:separator/>
      </w:r>
    </w:p>
  </w:footnote>
  <w:footnote w:type="continuationSeparator" w:id="0">
    <w:p w14:paraId="47861260" w14:textId="77777777" w:rsidR="00EE56C9" w:rsidRDefault="00EE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22AC2"/>
    <w:multiLevelType w:val="hybridMultilevel"/>
    <w:tmpl w:val="2B7EF488"/>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15:restartNumberingAfterBreak="0">
    <w:nsid w:val="68060B09"/>
    <w:multiLevelType w:val="hybridMultilevel"/>
    <w:tmpl w:val="E8988CD4"/>
    <w:lvl w:ilvl="0" w:tplc="0409000F">
      <w:start w:val="1"/>
      <w:numFmt w:val="decimal"/>
      <w:lvlText w:val="%1."/>
      <w:lvlJc w:val="left"/>
      <w:pPr>
        <w:ind w:left="1449" w:hanging="360"/>
      </w:pPr>
      <w:rPr>
        <w:rFonts w:hint="default"/>
      </w:rPr>
    </w:lvl>
    <w:lvl w:ilvl="1" w:tplc="04090001">
      <w:start w:val="1"/>
      <w:numFmt w:val="bullet"/>
      <w:lvlText w:val=""/>
      <w:lvlJc w:val="left"/>
      <w:pPr>
        <w:ind w:left="2169" w:hanging="360"/>
      </w:pPr>
      <w:rPr>
        <w:rFonts w:ascii="Symbol" w:hAnsi="Symbol" w:hint="default"/>
      </w:r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 w15:restartNumberingAfterBreak="0">
    <w:nsid w:val="6AED4679"/>
    <w:multiLevelType w:val="hybridMultilevel"/>
    <w:tmpl w:val="AD8E9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6F6AAE"/>
    <w:multiLevelType w:val="hybridMultilevel"/>
    <w:tmpl w:val="C0A613E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16cid:durableId="1209492855">
    <w:abstractNumId w:val="2"/>
  </w:num>
  <w:num w:numId="2" w16cid:durableId="1144152745">
    <w:abstractNumId w:val="3"/>
  </w:num>
  <w:num w:numId="3" w16cid:durableId="1051736387">
    <w:abstractNumId w:val="0"/>
  </w:num>
  <w:num w:numId="4" w16cid:durableId="787046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E"/>
    <w:rsid w:val="00003DE6"/>
    <w:rsid w:val="0001496B"/>
    <w:rsid w:val="00025349"/>
    <w:rsid w:val="000446B4"/>
    <w:rsid w:val="00063A81"/>
    <w:rsid w:val="00076847"/>
    <w:rsid w:val="00081D6E"/>
    <w:rsid w:val="000B45AC"/>
    <w:rsid w:val="000C02B6"/>
    <w:rsid w:val="000F617F"/>
    <w:rsid w:val="0015057D"/>
    <w:rsid w:val="00156205"/>
    <w:rsid w:val="00171F1D"/>
    <w:rsid w:val="00187EC2"/>
    <w:rsid w:val="001A5B17"/>
    <w:rsid w:val="00214E2B"/>
    <w:rsid w:val="00232F90"/>
    <w:rsid w:val="00254A26"/>
    <w:rsid w:val="002C4C0A"/>
    <w:rsid w:val="002F34DD"/>
    <w:rsid w:val="00316EF5"/>
    <w:rsid w:val="00380EBF"/>
    <w:rsid w:val="003A67CF"/>
    <w:rsid w:val="003B4C6A"/>
    <w:rsid w:val="003C48A8"/>
    <w:rsid w:val="003F323C"/>
    <w:rsid w:val="00436CC6"/>
    <w:rsid w:val="004676D9"/>
    <w:rsid w:val="004D0C5B"/>
    <w:rsid w:val="00555E60"/>
    <w:rsid w:val="00583849"/>
    <w:rsid w:val="005B6690"/>
    <w:rsid w:val="00623DD1"/>
    <w:rsid w:val="006309C7"/>
    <w:rsid w:val="00647143"/>
    <w:rsid w:val="00737DE1"/>
    <w:rsid w:val="00764658"/>
    <w:rsid w:val="007D50AB"/>
    <w:rsid w:val="00802FCC"/>
    <w:rsid w:val="008042BC"/>
    <w:rsid w:val="00822B84"/>
    <w:rsid w:val="008F0D49"/>
    <w:rsid w:val="008F1D0A"/>
    <w:rsid w:val="00952E13"/>
    <w:rsid w:val="00995EF1"/>
    <w:rsid w:val="00A14588"/>
    <w:rsid w:val="00A253AF"/>
    <w:rsid w:val="00AB4F98"/>
    <w:rsid w:val="00AB6887"/>
    <w:rsid w:val="00AC37ED"/>
    <w:rsid w:val="00AE4F25"/>
    <w:rsid w:val="00B0557E"/>
    <w:rsid w:val="00B85DCF"/>
    <w:rsid w:val="00C3495E"/>
    <w:rsid w:val="00C53813"/>
    <w:rsid w:val="00C64BB1"/>
    <w:rsid w:val="00C8541B"/>
    <w:rsid w:val="00C91512"/>
    <w:rsid w:val="00C92201"/>
    <w:rsid w:val="00CF5E56"/>
    <w:rsid w:val="00D537E6"/>
    <w:rsid w:val="00D7742E"/>
    <w:rsid w:val="00D92D44"/>
    <w:rsid w:val="00D96E7E"/>
    <w:rsid w:val="00DA0BD9"/>
    <w:rsid w:val="00DA3BE9"/>
    <w:rsid w:val="00DC17C9"/>
    <w:rsid w:val="00DC46EF"/>
    <w:rsid w:val="00E256D9"/>
    <w:rsid w:val="00E260B4"/>
    <w:rsid w:val="00E43FDB"/>
    <w:rsid w:val="00E96EAD"/>
    <w:rsid w:val="00EE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estgroup-com/westlawcitation" w:name="typecases"/>
  <w:shapeDefaults>
    <o:shapedefaults v:ext="edit" spidmax="2049"/>
    <o:shapelayout v:ext="edit">
      <o:idmap v:ext="edit" data="1"/>
    </o:shapelayout>
  </w:shapeDefaults>
  <w:decimalSymbol w:val="."/>
  <w:listSeparator w:val=","/>
  <w14:docId w14:val="3DB69E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spacing w:line="480" w:lineRule="auto"/>
      <w:ind w:firstLine="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noteText">
    <w:name w:val="footnote text"/>
    <w:basedOn w:val="Normal"/>
    <w:semiHidden/>
    <w:rPr>
      <w:sz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C92201"/>
    <w:pPr>
      <w:ind w:left="720"/>
    </w:pPr>
  </w:style>
  <w:style w:type="table" w:styleId="TableGrid">
    <w:name w:val="Table Grid"/>
    <w:basedOn w:val="TableNormal"/>
    <w:uiPriority w:val="59"/>
    <w:rsid w:val="00C915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C91512"/>
    <w:pPr>
      <w:autoSpaceDE w:val="0"/>
      <w:autoSpaceDN w:val="0"/>
      <w:spacing w:before="180" w:line="480" w:lineRule="auto"/>
      <w:ind w:left="72" w:right="216" w:firstLine="720"/>
    </w:pPr>
    <w:rPr>
      <w:snapToGrid/>
      <w:sz w:val="23"/>
      <w:szCs w:val="23"/>
    </w:rPr>
  </w:style>
  <w:style w:type="paragraph" w:customStyle="1" w:styleId="Default">
    <w:name w:val="Default"/>
    <w:rsid w:val="00E96EAD"/>
    <w:pPr>
      <w:autoSpaceDE w:val="0"/>
      <w:autoSpaceDN w:val="0"/>
      <w:adjustRightInd w:val="0"/>
    </w:pPr>
    <w:rPr>
      <w:rFonts w:ascii="FMHNEK+TimesNewRoman" w:hAnsi="FMHNEK+TimesNewRoman" w:cs="FMHNEK+TimesNewRoman"/>
      <w:color w:val="000000"/>
      <w:sz w:val="24"/>
      <w:szCs w:val="24"/>
    </w:rPr>
  </w:style>
  <w:style w:type="paragraph" w:styleId="Revision">
    <w:name w:val="Revision"/>
    <w:hidden/>
    <w:uiPriority w:val="99"/>
    <w:semiHidden/>
    <w:rsid w:val="00CF5E56"/>
    <w:rPr>
      <w:snapToGrid w:val="0"/>
      <w:sz w:val="24"/>
    </w:rPr>
  </w:style>
  <w:style w:type="character" w:styleId="CommentReference">
    <w:name w:val="annotation reference"/>
    <w:basedOn w:val="DefaultParagraphFont"/>
    <w:uiPriority w:val="99"/>
    <w:semiHidden/>
    <w:unhideWhenUsed/>
    <w:rsid w:val="00CF5E56"/>
    <w:rPr>
      <w:sz w:val="16"/>
      <w:szCs w:val="16"/>
    </w:rPr>
  </w:style>
  <w:style w:type="paragraph" w:styleId="CommentText">
    <w:name w:val="annotation text"/>
    <w:basedOn w:val="Normal"/>
    <w:link w:val="CommentTextChar"/>
    <w:uiPriority w:val="99"/>
    <w:unhideWhenUsed/>
    <w:rsid w:val="00CF5E56"/>
    <w:rPr>
      <w:sz w:val="20"/>
    </w:rPr>
  </w:style>
  <w:style w:type="character" w:customStyle="1" w:styleId="CommentTextChar">
    <w:name w:val="Comment Text Char"/>
    <w:basedOn w:val="DefaultParagraphFont"/>
    <w:link w:val="CommentText"/>
    <w:uiPriority w:val="99"/>
    <w:rsid w:val="00CF5E56"/>
    <w:rPr>
      <w:snapToGrid w:val="0"/>
    </w:rPr>
  </w:style>
  <w:style w:type="paragraph" w:styleId="CommentSubject">
    <w:name w:val="annotation subject"/>
    <w:basedOn w:val="CommentText"/>
    <w:next w:val="CommentText"/>
    <w:link w:val="CommentSubjectChar"/>
    <w:uiPriority w:val="99"/>
    <w:semiHidden/>
    <w:unhideWhenUsed/>
    <w:rsid w:val="00CF5E56"/>
    <w:rPr>
      <w:b/>
      <w:bCs/>
    </w:rPr>
  </w:style>
  <w:style w:type="character" w:customStyle="1" w:styleId="CommentSubjectChar">
    <w:name w:val="Comment Subject Char"/>
    <w:basedOn w:val="CommentTextChar"/>
    <w:link w:val="CommentSubject"/>
    <w:uiPriority w:val="99"/>
    <w:semiHidden/>
    <w:rsid w:val="00CF5E56"/>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52BE8-6EB6-43EB-9A01-9B232A4E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3989</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2024-10-31T20:26:00Z</dcterms:created>
  <dcterms:modified xsi:type="dcterms:W3CDTF">2024-10-31T20:26:00Z</dcterms:modified>
</cp:coreProperties>
</file>